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2517" w14:textId="77777777" w:rsidR="00306036" w:rsidRDefault="0035324C" w:rsidP="00F35BA2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 w:rsidRPr="00AE2EE4">
        <w:rPr>
          <w:rFonts w:ascii="Times New Roman" w:eastAsia="黑体" w:hAnsi="Times New Roman" w:cs="Times New Roman"/>
          <w:b/>
          <w:sz w:val="32"/>
        </w:rPr>
        <w:t>国泰君安证券股份有限公司</w:t>
      </w:r>
    </w:p>
    <w:p w14:paraId="11A5E93F" w14:textId="50EE50D7" w:rsidR="0035324C" w:rsidRPr="00AE2EE4" w:rsidRDefault="0035324C" w:rsidP="00F35BA2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 w:rsidRPr="00AE2EE4">
        <w:rPr>
          <w:rFonts w:ascii="Times New Roman" w:eastAsia="黑体" w:hAnsi="Times New Roman" w:cs="Times New Roman"/>
          <w:b/>
          <w:sz w:val="32"/>
        </w:rPr>
        <w:t>关于</w:t>
      </w:r>
      <w:r w:rsidR="00FB5807">
        <w:rPr>
          <w:rFonts w:ascii="Times New Roman" w:eastAsia="黑体" w:hAnsi="Times New Roman" w:cs="Times New Roman" w:hint="eastAsia"/>
          <w:b/>
          <w:sz w:val="32"/>
        </w:rPr>
        <w:t>北自所（北京）科技发展股份有限公司</w:t>
      </w:r>
    </w:p>
    <w:p w14:paraId="1C872FBC" w14:textId="77777777" w:rsidR="00306036" w:rsidRDefault="0035324C" w:rsidP="00F35BA2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 w:rsidRPr="00AE2EE4">
        <w:rPr>
          <w:rFonts w:ascii="Times New Roman" w:eastAsia="黑体" w:hAnsi="Times New Roman" w:cs="Times New Roman"/>
          <w:b/>
          <w:sz w:val="32"/>
        </w:rPr>
        <w:t>首次公开发行股票并</w:t>
      </w:r>
      <w:r w:rsidR="00306036">
        <w:rPr>
          <w:rFonts w:ascii="Times New Roman" w:eastAsia="黑体" w:hAnsi="Times New Roman" w:cs="Times New Roman" w:hint="eastAsia"/>
          <w:b/>
          <w:sz w:val="32"/>
        </w:rPr>
        <w:t>在上海证券交易所主板</w:t>
      </w:r>
      <w:r w:rsidRPr="00AE2EE4">
        <w:rPr>
          <w:rFonts w:ascii="Times New Roman" w:eastAsia="黑体" w:hAnsi="Times New Roman" w:cs="Times New Roman"/>
          <w:b/>
          <w:sz w:val="32"/>
        </w:rPr>
        <w:t>上市</w:t>
      </w:r>
    </w:p>
    <w:p w14:paraId="24F1DA13" w14:textId="72255051" w:rsidR="0035324C" w:rsidRPr="00AE2EE4" w:rsidRDefault="0035324C" w:rsidP="00F35BA2">
      <w:pPr>
        <w:adjustRightInd w:val="0"/>
        <w:snapToGrid w:val="0"/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 w:rsidRPr="00AE2EE4">
        <w:rPr>
          <w:rFonts w:ascii="Times New Roman" w:eastAsia="黑体" w:hAnsi="Times New Roman" w:cs="Times New Roman"/>
          <w:b/>
          <w:sz w:val="32"/>
        </w:rPr>
        <w:t>辅导</w:t>
      </w:r>
      <w:r w:rsidR="004401AD">
        <w:rPr>
          <w:rFonts w:ascii="Times New Roman" w:eastAsia="黑体" w:hAnsi="Times New Roman" w:cs="Times New Roman" w:hint="eastAsia"/>
          <w:b/>
          <w:sz w:val="32"/>
        </w:rPr>
        <w:t>基本情况表</w:t>
      </w:r>
    </w:p>
    <w:p w14:paraId="234AF583" w14:textId="77777777" w:rsidR="00EF4582" w:rsidRPr="002D6313" w:rsidRDefault="00EF4582" w:rsidP="00F35BA2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D47C99D" w14:textId="4197A1B4" w:rsidR="0035324C" w:rsidRDefault="0035324C" w:rsidP="00F35BA2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E2EE4">
        <w:rPr>
          <w:rFonts w:ascii="Times New Roman" w:eastAsia="宋体" w:hAnsi="Times New Roman" w:cs="Times New Roman"/>
          <w:sz w:val="24"/>
          <w:szCs w:val="24"/>
        </w:rPr>
        <w:t>国泰君安证券股份有限公司（以下简称</w:t>
      </w:r>
      <w:r w:rsidRPr="00EF4582">
        <w:rPr>
          <w:rFonts w:ascii="宋体" w:eastAsia="宋体" w:hAnsi="宋体" w:cs="Times New Roman"/>
          <w:sz w:val="24"/>
          <w:szCs w:val="24"/>
        </w:rPr>
        <w:t>“国泰君安”</w:t>
      </w:r>
      <w:r w:rsidR="00F35BA2">
        <w:rPr>
          <w:rFonts w:ascii="宋体" w:eastAsia="宋体" w:hAnsi="宋体" w:cs="Times New Roman" w:hint="eastAsia"/>
          <w:sz w:val="24"/>
          <w:szCs w:val="24"/>
        </w:rPr>
        <w:t>或“辅导机构”</w:t>
      </w:r>
      <w:r w:rsidRPr="00AE2EE4">
        <w:rPr>
          <w:rFonts w:ascii="Times New Roman" w:eastAsia="宋体" w:hAnsi="Times New Roman" w:cs="Times New Roman"/>
          <w:sz w:val="24"/>
          <w:szCs w:val="24"/>
        </w:rPr>
        <w:t>）</w:t>
      </w:r>
      <w:r w:rsidR="00EF458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FB5807">
        <w:rPr>
          <w:rFonts w:ascii="Times New Roman" w:eastAsia="宋体" w:hAnsi="Times New Roman" w:cs="Times New Roman" w:hint="eastAsia"/>
          <w:sz w:val="24"/>
          <w:szCs w:val="24"/>
        </w:rPr>
        <w:t>北自所（北京）科技发展股份有限公司</w:t>
      </w:r>
      <w:r w:rsidR="004401AD" w:rsidRPr="00AE2EE4">
        <w:rPr>
          <w:rFonts w:ascii="Times New Roman" w:eastAsia="宋体" w:hAnsi="Times New Roman" w:cs="Times New Roman"/>
          <w:sz w:val="24"/>
          <w:szCs w:val="24"/>
        </w:rPr>
        <w:t>（以下简称</w:t>
      </w:r>
      <w:r w:rsidR="004401AD" w:rsidRPr="00EF4582">
        <w:rPr>
          <w:rFonts w:ascii="宋体" w:eastAsia="宋体" w:hAnsi="宋体" w:cs="Times New Roman"/>
          <w:sz w:val="24"/>
          <w:szCs w:val="24"/>
        </w:rPr>
        <w:t>“</w:t>
      </w:r>
      <w:r w:rsidR="00FB5807">
        <w:rPr>
          <w:rFonts w:ascii="宋体" w:eastAsia="宋体" w:hAnsi="宋体" w:cs="Times New Roman" w:hint="eastAsia"/>
          <w:sz w:val="24"/>
          <w:szCs w:val="24"/>
        </w:rPr>
        <w:t>北自科技</w:t>
      </w:r>
      <w:r w:rsidR="004401AD" w:rsidRPr="00EF4582">
        <w:rPr>
          <w:rFonts w:ascii="宋体" w:eastAsia="宋体" w:hAnsi="宋体" w:cs="Times New Roman"/>
          <w:sz w:val="24"/>
          <w:szCs w:val="24"/>
        </w:rPr>
        <w:t>”</w:t>
      </w:r>
      <w:r w:rsidR="00F35BA2">
        <w:rPr>
          <w:rFonts w:ascii="宋体" w:eastAsia="宋体" w:hAnsi="宋体" w:cs="Times New Roman" w:hint="eastAsia"/>
          <w:sz w:val="24"/>
          <w:szCs w:val="24"/>
        </w:rPr>
        <w:t>或“公司”</w:t>
      </w:r>
      <w:r w:rsidR="004401AD" w:rsidRPr="00AE2EE4">
        <w:rPr>
          <w:rFonts w:ascii="Times New Roman" w:eastAsia="宋体" w:hAnsi="Times New Roman" w:cs="Times New Roman"/>
          <w:sz w:val="24"/>
          <w:szCs w:val="24"/>
        </w:rPr>
        <w:t>）</w:t>
      </w:r>
      <w:r w:rsidR="00D80A4D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D80A4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D80A4D">
        <w:rPr>
          <w:rFonts w:ascii="Times New Roman" w:eastAsia="宋体" w:hAnsi="Times New Roman" w:cs="Times New Roman"/>
          <w:sz w:val="24"/>
          <w:szCs w:val="24"/>
        </w:rPr>
        <w:t>021</w:t>
      </w:r>
      <w:r w:rsidR="00D80A4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D80A4D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D80A4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C133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2C1338">
        <w:rPr>
          <w:rFonts w:ascii="Times New Roman" w:eastAsia="宋体" w:hAnsi="Times New Roman" w:cs="Times New Roman"/>
          <w:sz w:val="24"/>
          <w:szCs w:val="24"/>
        </w:rPr>
        <w:t>0</w:t>
      </w:r>
      <w:r w:rsidR="00D80A4D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4401AD">
        <w:rPr>
          <w:rFonts w:ascii="Times New Roman" w:eastAsia="宋体" w:hAnsi="Times New Roman" w:cs="Times New Roman" w:hint="eastAsia"/>
          <w:sz w:val="24"/>
          <w:szCs w:val="24"/>
        </w:rPr>
        <w:t>签署</w:t>
      </w:r>
      <w:r w:rsidR="001B0E16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Pr="00AE2EE4">
        <w:rPr>
          <w:rFonts w:ascii="Times New Roman" w:eastAsia="宋体" w:hAnsi="Times New Roman" w:cs="Times New Roman"/>
          <w:sz w:val="24"/>
          <w:szCs w:val="24"/>
        </w:rPr>
        <w:t>《</w:t>
      </w:r>
      <w:r w:rsidR="00FB5807">
        <w:rPr>
          <w:rFonts w:ascii="Times New Roman" w:eastAsia="宋体" w:hAnsi="Times New Roman" w:cs="Times New Roman" w:hint="eastAsia"/>
          <w:sz w:val="24"/>
          <w:szCs w:val="24"/>
        </w:rPr>
        <w:t>北自所（北京）科技发展股份有限公司</w:t>
      </w:r>
      <w:r w:rsidR="004401AD">
        <w:rPr>
          <w:rFonts w:ascii="Times New Roman" w:eastAsia="宋体" w:hAnsi="Times New Roman" w:cs="Times New Roman"/>
          <w:sz w:val="24"/>
          <w:szCs w:val="24"/>
        </w:rPr>
        <w:t>与国泰君安证券股份有限公司股票发行上市辅导协议》</w:t>
      </w:r>
      <w:r w:rsidR="00EF4582">
        <w:rPr>
          <w:rFonts w:ascii="Times New Roman" w:eastAsia="宋体" w:hAnsi="Times New Roman" w:cs="Times New Roman" w:hint="eastAsia"/>
          <w:sz w:val="24"/>
          <w:szCs w:val="24"/>
        </w:rPr>
        <w:t>（以下简称“《股票发行上市辅导协议》”）</w:t>
      </w:r>
      <w:r w:rsidR="004401AD" w:rsidRPr="004401AD">
        <w:rPr>
          <w:rFonts w:ascii="Times New Roman" w:eastAsia="宋体" w:hAnsi="Times New Roman" w:cs="Times New Roman" w:hint="eastAsia"/>
          <w:sz w:val="24"/>
          <w:szCs w:val="24"/>
        </w:rPr>
        <w:t>，现将相关情况予以公示，接受社会各界监督</w:t>
      </w:r>
      <w:r w:rsidRPr="00AE2EE4">
        <w:rPr>
          <w:rFonts w:ascii="Times New Roman" w:eastAsia="宋体" w:hAnsi="Times New Roman" w:cs="Times New Roman"/>
          <w:sz w:val="24"/>
          <w:szCs w:val="24"/>
        </w:rPr>
        <w:t>。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4401AD" w14:paraId="69F9B9FB" w14:textId="77777777" w:rsidTr="00F35BA2">
        <w:trPr>
          <w:trHeight w:val="397"/>
        </w:trPr>
        <w:tc>
          <w:tcPr>
            <w:tcW w:w="2376" w:type="dxa"/>
            <w:vAlign w:val="center"/>
          </w:tcPr>
          <w:p w14:paraId="760E8D82" w14:textId="77777777" w:rsidR="004401AD" w:rsidRPr="004401AD" w:rsidRDefault="004401AD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401AD">
              <w:rPr>
                <w:rFonts w:ascii="Times New Roman" w:eastAsia="宋体" w:hAnsi="Times New Roman" w:cs="Times New Roman" w:hint="eastAsia"/>
                <w:szCs w:val="21"/>
              </w:rPr>
              <w:t>拟上市公司名称</w:t>
            </w:r>
          </w:p>
        </w:tc>
        <w:tc>
          <w:tcPr>
            <w:tcW w:w="6146" w:type="dxa"/>
            <w:vAlign w:val="center"/>
          </w:tcPr>
          <w:p w14:paraId="2757AFA3" w14:textId="1DB6F98B" w:rsidR="004401AD" w:rsidRPr="004401AD" w:rsidRDefault="00FB5807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北自所（北京）科技发展股份有限公司</w:t>
            </w:r>
          </w:p>
        </w:tc>
      </w:tr>
      <w:tr w:rsidR="00E05530" w14:paraId="785D5716" w14:textId="77777777" w:rsidTr="00E05530">
        <w:trPr>
          <w:trHeight w:val="397"/>
        </w:trPr>
        <w:tc>
          <w:tcPr>
            <w:tcW w:w="2376" w:type="dxa"/>
            <w:vAlign w:val="center"/>
          </w:tcPr>
          <w:p w14:paraId="2C60D41C" w14:textId="77777777" w:rsidR="00E05530" w:rsidRPr="004401AD" w:rsidRDefault="00E05530" w:rsidP="00E055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401AD">
              <w:rPr>
                <w:rFonts w:ascii="Times New Roman" w:eastAsia="宋体" w:hAnsi="Times New Roman" w:cs="Times New Roman" w:hint="eastAsia"/>
                <w:szCs w:val="21"/>
              </w:rPr>
              <w:t>公司注册地址</w:t>
            </w:r>
          </w:p>
        </w:tc>
        <w:tc>
          <w:tcPr>
            <w:tcW w:w="6146" w:type="dxa"/>
            <w:vAlign w:val="center"/>
          </w:tcPr>
          <w:p w14:paraId="19B60EAA" w14:textId="2FF61448" w:rsidR="00E05530" w:rsidRPr="00E05530" w:rsidRDefault="00E05530" w:rsidP="00E055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05530">
              <w:rPr>
                <w:rFonts w:ascii="Times New Roman" w:hAnsi="Times New Roman" w:cs="Times New Roman"/>
              </w:rPr>
              <w:t>北京市西城区教场口街</w:t>
            </w:r>
            <w:r w:rsidRPr="00E05530">
              <w:rPr>
                <w:rFonts w:ascii="Times New Roman" w:hAnsi="Times New Roman" w:cs="Times New Roman"/>
              </w:rPr>
              <w:t>1</w:t>
            </w:r>
            <w:r w:rsidRPr="00E05530">
              <w:rPr>
                <w:rFonts w:ascii="Times New Roman" w:hAnsi="Times New Roman" w:cs="Times New Roman"/>
              </w:rPr>
              <w:t>号</w:t>
            </w:r>
            <w:r w:rsidRPr="00E05530">
              <w:rPr>
                <w:rFonts w:ascii="Times New Roman" w:hAnsi="Times New Roman" w:cs="Times New Roman"/>
              </w:rPr>
              <w:t>3</w:t>
            </w:r>
            <w:r w:rsidRPr="00E05530">
              <w:rPr>
                <w:rFonts w:ascii="Times New Roman" w:hAnsi="Times New Roman" w:cs="Times New Roman"/>
              </w:rPr>
              <w:t>号楼</w:t>
            </w:r>
          </w:p>
        </w:tc>
      </w:tr>
      <w:tr w:rsidR="00E05530" w14:paraId="30FC5161" w14:textId="77777777" w:rsidTr="00E05530">
        <w:trPr>
          <w:trHeight w:val="397"/>
        </w:trPr>
        <w:tc>
          <w:tcPr>
            <w:tcW w:w="2376" w:type="dxa"/>
            <w:vAlign w:val="center"/>
          </w:tcPr>
          <w:p w14:paraId="2FE2E433" w14:textId="77777777" w:rsidR="00E05530" w:rsidRPr="004401AD" w:rsidRDefault="00E05530" w:rsidP="00E055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401AD">
              <w:rPr>
                <w:rFonts w:ascii="Times New Roman" w:eastAsia="宋体" w:hAnsi="Times New Roman" w:cs="Times New Roman" w:hint="eastAsia"/>
                <w:szCs w:val="21"/>
              </w:rPr>
              <w:t>公司办公地址</w:t>
            </w:r>
          </w:p>
        </w:tc>
        <w:tc>
          <w:tcPr>
            <w:tcW w:w="6146" w:type="dxa"/>
            <w:vAlign w:val="center"/>
          </w:tcPr>
          <w:p w14:paraId="2E594016" w14:textId="3340327A" w:rsidR="00E05530" w:rsidRPr="00E05530" w:rsidRDefault="00E05530" w:rsidP="00E055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05530">
              <w:rPr>
                <w:rFonts w:ascii="Times New Roman" w:hAnsi="Times New Roman" w:cs="Times New Roman"/>
              </w:rPr>
              <w:t>北京市西城区教场口街</w:t>
            </w:r>
            <w:r w:rsidRPr="00E05530">
              <w:rPr>
                <w:rFonts w:ascii="Times New Roman" w:hAnsi="Times New Roman" w:cs="Times New Roman"/>
              </w:rPr>
              <w:t>1</w:t>
            </w:r>
            <w:r w:rsidRPr="00E05530">
              <w:rPr>
                <w:rFonts w:ascii="Times New Roman" w:hAnsi="Times New Roman" w:cs="Times New Roman"/>
              </w:rPr>
              <w:t>号</w:t>
            </w:r>
            <w:r w:rsidRPr="00E05530">
              <w:rPr>
                <w:rFonts w:ascii="Times New Roman" w:hAnsi="Times New Roman" w:cs="Times New Roman"/>
              </w:rPr>
              <w:t>3</w:t>
            </w:r>
            <w:r w:rsidRPr="00E05530">
              <w:rPr>
                <w:rFonts w:ascii="Times New Roman" w:hAnsi="Times New Roman" w:cs="Times New Roman"/>
              </w:rPr>
              <w:t>号楼</w:t>
            </w:r>
          </w:p>
        </w:tc>
      </w:tr>
      <w:tr w:rsidR="004401AD" w14:paraId="60D71967" w14:textId="77777777" w:rsidTr="00F35BA2">
        <w:trPr>
          <w:trHeight w:val="397"/>
        </w:trPr>
        <w:tc>
          <w:tcPr>
            <w:tcW w:w="2376" w:type="dxa"/>
            <w:vAlign w:val="center"/>
          </w:tcPr>
          <w:p w14:paraId="5ACAB15B" w14:textId="77777777" w:rsidR="004401AD" w:rsidRPr="004401AD" w:rsidRDefault="004401AD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401AD">
              <w:rPr>
                <w:rFonts w:ascii="Times New Roman" w:eastAsia="宋体" w:hAnsi="Times New Roman" w:cs="Times New Roman" w:hint="eastAsia"/>
                <w:szCs w:val="21"/>
              </w:rPr>
              <w:t>公司法定代表人</w:t>
            </w:r>
          </w:p>
        </w:tc>
        <w:tc>
          <w:tcPr>
            <w:tcW w:w="6146" w:type="dxa"/>
            <w:vAlign w:val="center"/>
          </w:tcPr>
          <w:p w14:paraId="2D02D5F6" w14:textId="4330EF51" w:rsidR="004401AD" w:rsidRPr="004401AD" w:rsidRDefault="006953B7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953B7">
              <w:rPr>
                <w:rFonts w:ascii="Times New Roman" w:eastAsia="宋体" w:hAnsi="Times New Roman" w:cs="Times New Roman" w:hint="eastAsia"/>
                <w:szCs w:val="21"/>
              </w:rPr>
              <w:t>王振林</w:t>
            </w:r>
          </w:p>
        </w:tc>
      </w:tr>
      <w:tr w:rsidR="004401AD" w14:paraId="69BE1FE1" w14:textId="77777777" w:rsidTr="00F35BA2">
        <w:trPr>
          <w:trHeight w:val="397"/>
        </w:trPr>
        <w:tc>
          <w:tcPr>
            <w:tcW w:w="2376" w:type="dxa"/>
            <w:vAlign w:val="center"/>
          </w:tcPr>
          <w:p w14:paraId="36F678DB" w14:textId="77777777" w:rsidR="004401AD" w:rsidRPr="004401AD" w:rsidRDefault="004401AD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401AD">
              <w:rPr>
                <w:rFonts w:ascii="Times New Roman" w:eastAsia="宋体" w:hAnsi="Times New Roman" w:cs="Times New Roman" w:hint="eastAsia"/>
                <w:szCs w:val="21"/>
              </w:rPr>
              <w:t>注册资本</w:t>
            </w:r>
          </w:p>
        </w:tc>
        <w:tc>
          <w:tcPr>
            <w:tcW w:w="6146" w:type="dxa"/>
            <w:vAlign w:val="center"/>
          </w:tcPr>
          <w:p w14:paraId="28874DBD" w14:textId="5BEC868E" w:rsidR="004401AD" w:rsidRPr="004401AD" w:rsidRDefault="004401AD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人民币</w:t>
            </w:r>
            <w:r w:rsidR="006953B7" w:rsidRPr="006953B7">
              <w:rPr>
                <w:rFonts w:ascii="Times New Roman" w:eastAsia="宋体" w:hAnsi="Times New Roman" w:cs="Times New Roman" w:hint="eastAsia"/>
                <w:szCs w:val="21"/>
              </w:rPr>
              <w:t>12,167.0643</w:t>
            </w:r>
            <w:r w:rsidR="006953B7" w:rsidRPr="006953B7"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</w:tr>
      <w:tr w:rsidR="004401AD" w14:paraId="74A20CCB" w14:textId="77777777" w:rsidTr="00F35BA2">
        <w:trPr>
          <w:trHeight w:val="397"/>
        </w:trPr>
        <w:tc>
          <w:tcPr>
            <w:tcW w:w="2376" w:type="dxa"/>
            <w:vAlign w:val="center"/>
          </w:tcPr>
          <w:p w14:paraId="3DD9DADF" w14:textId="77777777" w:rsidR="004401AD" w:rsidRPr="004401AD" w:rsidRDefault="004401AD" w:rsidP="00F35BA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401AD">
              <w:rPr>
                <w:rFonts w:ascii="Times New Roman" w:eastAsia="宋体" w:hAnsi="Times New Roman" w:cs="Times New Roman" w:hint="eastAsia"/>
                <w:szCs w:val="21"/>
              </w:rPr>
              <w:t>辅导计划</w:t>
            </w:r>
          </w:p>
        </w:tc>
        <w:tc>
          <w:tcPr>
            <w:tcW w:w="6146" w:type="dxa"/>
            <w:vAlign w:val="center"/>
          </w:tcPr>
          <w:p w14:paraId="69AE7892" w14:textId="48742B90" w:rsidR="009462A4" w:rsidRPr="009462A4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、辅导目的：促</w:t>
            </w:r>
            <w:r w:rsidR="0054363D">
              <w:rPr>
                <w:rFonts w:ascii="Times New Roman" w:eastAsia="宋体" w:hAnsi="Times New Roman" w:cs="Times New Roman" w:hint="eastAsia"/>
                <w:szCs w:val="21"/>
              </w:rPr>
              <w:t>使</w:t>
            </w:r>
            <w:r w:rsidR="00FB5807">
              <w:rPr>
                <w:rFonts w:ascii="Times New Roman" w:eastAsia="宋体" w:hAnsi="Times New Roman" w:cs="Times New Roman" w:hint="eastAsia"/>
                <w:szCs w:val="21"/>
              </w:rPr>
              <w:t>北自科技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建立良好的公司治理</w:t>
            </w:r>
            <w:r w:rsidR="0054363D">
              <w:rPr>
                <w:rFonts w:ascii="Times New Roman" w:eastAsia="宋体" w:hAnsi="Times New Roman" w:cs="Times New Roman" w:hint="eastAsia"/>
                <w:szCs w:val="21"/>
              </w:rPr>
              <w:t>结构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，形成独立运营和持续发展的能力，督促</w:t>
            </w:r>
            <w:r w:rsidR="00FB5807">
              <w:rPr>
                <w:rFonts w:ascii="Times New Roman" w:eastAsia="宋体" w:hAnsi="Times New Roman" w:cs="Times New Roman" w:hint="eastAsia"/>
                <w:szCs w:val="21"/>
              </w:rPr>
              <w:t>北自科技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的董事、监事、高级管理人员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="0054363D" w:rsidRPr="0054363D">
              <w:rPr>
                <w:rFonts w:ascii="Times New Roman" w:eastAsia="宋体" w:hAnsi="Times New Roman" w:cs="Times New Roman" w:hint="eastAsia"/>
                <w:szCs w:val="21"/>
              </w:rPr>
              <w:t>持有</w:t>
            </w:r>
            <w:r w:rsidR="0054363D" w:rsidRPr="0054363D">
              <w:rPr>
                <w:rFonts w:ascii="Times New Roman" w:eastAsia="宋体" w:hAnsi="Times New Roman" w:cs="Times New Roman" w:hint="eastAsia"/>
                <w:szCs w:val="21"/>
              </w:rPr>
              <w:t>5%</w:t>
            </w:r>
            <w:r w:rsidR="0054363D" w:rsidRPr="0054363D">
              <w:rPr>
                <w:rFonts w:ascii="Times New Roman" w:eastAsia="宋体" w:hAnsi="Times New Roman" w:cs="Times New Roman" w:hint="eastAsia"/>
                <w:szCs w:val="21"/>
              </w:rPr>
              <w:t>以上股份的股东和实际控制人（或者其法定代表人）</w:t>
            </w:r>
            <w:bookmarkStart w:id="0" w:name="_Hlk60844318"/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全面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掌握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发行上市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、规范运作等方面的有关法律法规和规则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知悉信息披露和履行承诺等方面的责任和义务，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树立进入证券市场的诚信意识、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自律意识和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法制意识，</w:t>
            </w:r>
            <w:bookmarkEnd w:id="0"/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具备进入证券市场的基本条件；同时促进辅导机构履行勤勉尽责义务。</w:t>
            </w:r>
          </w:p>
          <w:p w14:paraId="655477E4" w14:textId="5734A928" w:rsidR="009462A4" w:rsidRPr="009462A4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、辅导对象：</w:t>
            </w:r>
            <w:r w:rsidR="00FB5807">
              <w:rPr>
                <w:rFonts w:ascii="Times New Roman" w:eastAsia="宋体" w:hAnsi="Times New Roman" w:cs="Times New Roman" w:hint="eastAsia"/>
                <w:szCs w:val="21"/>
              </w:rPr>
              <w:t>北自科技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的全体董事（包括独立董事）、监事、高级管理人员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="0054363D" w:rsidRPr="0054363D">
              <w:rPr>
                <w:rFonts w:ascii="Times New Roman" w:eastAsia="宋体" w:hAnsi="Times New Roman" w:cs="Times New Roman" w:hint="eastAsia"/>
                <w:szCs w:val="21"/>
              </w:rPr>
              <w:t>持有</w:t>
            </w:r>
            <w:r w:rsidR="0054363D" w:rsidRPr="0054363D">
              <w:rPr>
                <w:rFonts w:ascii="Times New Roman" w:eastAsia="宋体" w:hAnsi="Times New Roman" w:cs="Times New Roman" w:hint="eastAsia"/>
                <w:szCs w:val="21"/>
              </w:rPr>
              <w:t>5%</w:t>
            </w:r>
            <w:r w:rsidR="0054363D" w:rsidRPr="0054363D">
              <w:rPr>
                <w:rFonts w:ascii="Times New Roman" w:eastAsia="宋体" w:hAnsi="Times New Roman" w:cs="Times New Roman" w:hint="eastAsia"/>
                <w:szCs w:val="21"/>
              </w:rPr>
              <w:t>以上股份的股东和实际控制人（或者其法定代表人）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。根据</w:t>
            </w:r>
            <w:r w:rsidR="00FB5807">
              <w:rPr>
                <w:rFonts w:ascii="Times New Roman" w:eastAsia="宋体" w:hAnsi="Times New Roman" w:cs="Times New Roman" w:hint="eastAsia"/>
                <w:szCs w:val="21"/>
              </w:rPr>
              <w:t>北自科技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的实际情况，辅导机构将择</w:t>
            </w:r>
            <w:proofErr w:type="gramStart"/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机安排</w:t>
            </w:r>
            <w:proofErr w:type="gramEnd"/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公司主要职能部门负责人参加辅导。</w:t>
            </w:r>
          </w:p>
          <w:p w14:paraId="74885385" w14:textId="29EF51A7" w:rsidR="009462A4" w:rsidRPr="009462A4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、辅导人员：由辅导机</w:t>
            </w:r>
            <w:r w:rsidRPr="00F748B7">
              <w:rPr>
                <w:rFonts w:ascii="Times New Roman" w:eastAsia="宋体" w:hAnsi="Times New Roman" w:cs="Times New Roman" w:hint="eastAsia"/>
                <w:szCs w:val="21"/>
              </w:rPr>
              <w:t>构国泰君安选派经验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丰富的工作人员组成辅导工作组，并会同律师事务所、会计师事务所或其他有关机构协助完成。</w:t>
            </w:r>
          </w:p>
          <w:p w14:paraId="2CF91286" w14:textId="30D5CC82" w:rsidR="009462A4" w:rsidRPr="009462A4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、辅导内容：根据《证券发行上市保荐业务管理办法》和</w:t>
            </w:r>
            <w:r w:rsidR="00FB5807">
              <w:rPr>
                <w:rFonts w:ascii="Times New Roman" w:eastAsia="宋体" w:hAnsi="Times New Roman" w:cs="Times New Roman" w:hint="eastAsia"/>
                <w:szCs w:val="21"/>
              </w:rPr>
              <w:t>北自科技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与国泰君</w:t>
            </w:r>
            <w:proofErr w:type="gramStart"/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安签署</w:t>
            </w:r>
            <w:proofErr w:type="gramEnd"/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的《股票发行上市辅导协议》约定的辅导内容进行，主要包括：发行上市相关法律法规，公司法人治理结构，公司财务管理及内控体系，公司独立运行，关联交易及重大投资决策程序，公司发展战略，募集资金投资项目</w:t>
            </w:r>
            <w:r w:rsidR="00F35BA2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信息披露等方面。</w:t>
            </w:r>
          </w:p>
          <w:p w14:paraId="6A48663C" w14:textId="233F095F" w:rsidR="004401AD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、辅导方式：辅导过程中将注重理论学习与实际操作相结合，指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导</w:t>
            </w:r>
            <w:r w:rsidR="00FB5807">
              <w:rPr>
                <w:rFonts w:ascii="Times New Roman" w:eastAsia="宋体" w:hAnsi="Times New Roman" w:cs="Times New Roman" w:hint="eastAsia"/>
                <w:szCs w:val="21"/>
              </w:rPr>
              <w:t>北自科技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将所学习的政策法规运用到公司的规范化运作中。辅导的主要方式有“</w:t>
            </w:r>
            <w:r w:rsidR="007B625B" w:rsidRPr="007B625B">
              <w:rPr>
                <w:rFonts w:ascii="Times New Roman" w:eastAsia="宋体" w:hAnsi="Times New Roman" w:cs="Times New Roman" w:hint="eastAsia"/>
                <w:szCs w:val="21"/>
              </w:rPr>
              <w:t>组织自学、集中培训与考试、问题诊断与专业咨询、中介机构协调会、个别答疑、督促整改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”等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14:paraId="7686F78A" w14:textId="2C5B540F" w:rsidR="009462A4" w:rsidRPr="009462A4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、辅导方案：辅导计划分辅导前期、辅导中期和辅导后期三个阶段。辅导前期重点是摸底调查，全面形成具体的辅导方案，根据北京证监局相关规定报送辅导</w:t>
            </w:r>
            <w:r w:rsidR="00F35BA2">
              <w:rPr>
                <w:rFonts w:ascii="Times New Roman" w:eastAsia="宋体" w:hAnsi="Times New Roman" w:cs="Times New Roman" w:hint="eastAsia"/>
                <w:szCs w:val="21"/>
              </w:rPr>
              <w:t>登记</w:t>
            </w:r>
            <w:r w:rsidR="000846B7">
              <w:rPr>
                <w:rFonts w:ascii="Times New Roman" w:eastAsia="宋体" w:hAnsi="Times New Roman" w:cs="Times New Roman" w:hint="eastAsia"/>
                <w:szCs w:val="21"/>
              </w:rPr>
              <w:t>申请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并开始具体实施辅导工作；辅导中期重点在于集中学习和培训，诊断问题并加以解决；辅导后期重点在于完成辅导计划，进行考核评估，做好首次公开发行股票申请文件的准备工作。</w:t>
            </w:r>
          </w:p>
          <w:p w14:paraId="32D370FB" w14:textId="77777777" w:rsidR="009462A4" w:rsidRPr="009462A4" w:rsidRDefault="009462A4" w:rsidP="00F35BA2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9462A4">
              <w:rPr>
                <w:rFonts w:ascii="Times New Roman" w:eastAsia="宋体" w:hAnsi="Times New Roman" w:cs="Times New Roman" w:hint="eastAsia"/>
                <w:szCs w:val="21"/>
              </w:rPr>
              <w:t>、其他：为保证本次辅导质量，国泰君安会根据辅导的实际进展情况，适时修改和补充辅导计划与实施方案，修改和补充情况会在辅导工作报告、辅导工作总结报告等文件中说明。</w:t>
            </w:r>
          </w:p>
        </w:tc>
      </w:tr>
    </w:tbl>
    <w:p w14:paraId="4ED28FE2" w14:textId="77777777" w:rsidR="000846B7" w:rsidRDefault="000846B7" w:rsidP="0051218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  <w:sectPr w:rsidR="000846B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432172" w14:textId="78B584C0" w:rsidR="00A71C31" w:rsidRPr="00AE2EE4" w:rsidRDefault="00566DF8" w:rsidP="000846B7">
      <w:pPr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64591F" wp14:editId="442C4230">
            <wp:simplePos x="0" y="0"/>
            <wp:positionH relativeFrom="column">
              <wp:posOffset>-2701925</wp:posOffset>
            </wp:positionH>
            <wp:positionV relativeFrom="paragraph">
              <wp:posOffset>657225</wp:posOffset>
            </wp:positionV>
            <wp:extent cx="10680755" cy="7550320"/>
            <wp:effectExtent l="3175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0755" cy="75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A71C31" w:rsidRPr="00AE2EE4">
        <w:rPr>
          <w:rFonts w:ascii="Times New Roman" w:eastAsia="宋体" w:hAnsi="Times New Roman" w:cs="Times New Roman"/>
          <w:sz w:val="24"/>
          <w:szCs w:val="24"/>
        </w:rPr>
        <w:t>（本页无正文，为《国泰君安证券股份有限公司关于</w:t>
      </w:r>
      <w:r w:rsidR="00FB5807">
        <w:rPr>
          <w:rFonts w:ascii="Times New Roman" w:eastAsia="宋体" w:hAnsi="Times New Roman" w:cs="Times New Roman" w:hint="eastAsia"/>
          <w:sz w:val="24"/>
          <w:szCs w:val="24"/>
        </w:rPr>
        <w:t>北自所（北京）科技发展股份有限公司</w:t>
      </w:r>
      <w:r w:rsidR="00A7246F" w:rsidRPr="00A7246F">
        <w:rPr>
          <w:rFonts w:ascii="Times New Roman" w:eastAsia="宋体" w:hAnsi="Times New Roman" w:cs="Times New Roman" w:hint="eastAsia"/>
          <w:sz w:val="24"/>
          <w:szCs w:val="24"/>
        </w:rPr>
        <w:t>首次公开发行股票并在上海证券交易所主板上市</w:t>
      </w:r>
      <w:r w:rsidR="009462A4">
        <w:rPr>
          <w:rFonts w:ascii="Times New Roman" w:eastAsia="宋体" w:hAnsi="Times New Roman" w:cs="Times New Roman" w:hint="eastAsia"/>
          <w:sz w:val="24"/>
          <w:szCs w:val="24"/>
        </w:rPr>
        <w:t>辅导基本情况表</w:t>
      </w:r>
      <w:r w:rsidR="00A71C31" w:rsidRPr="00AE2EE4">
        <w:rPr>
          <w:rFonts w:ascii="Times New Roman" w:eastAsia="宋体" w:hAnsi="Times New Roman" w:cs="Times New Roman"/>
          <w:sz w:val="24"/>
          <w:szCs w:val="24"/>
        </w:rPr>
        <w:t>》之</w:t>
      </w:r>
      <w:r w:rsidR="00211B54">
        <w:rPr>
          <w:rFonts w:ascii="Times New Roman" w:eastAsia="宋体" w:hAnsi="Times New Roman" w:cs="Times New Roman" w:hint="eastAsia"/>
          <w:sz w:val="24"/>
          <w:szCs w:val="24"/>
        </w:rPr>
        <w:t>签章</w:t>
      </w:r>
      <w:r w:rsidR="00A71C31" w:rsidRPr="00AE2EE4">
        <w:rPr>
          <w:rFonts w:ascii="Times New Roman" w:eastAsia="宋体" w:hAnsi="Times New Roman" w:cs="Times New Roman"/>
          <w:sz w:val="24"/>
          <w:szCs w:val="24"/>
        </w:rPr>
        <w:t>页）</w:t>
      </w:r>
    </w:p>
    <w:p w14:paraId="0FAAE20C" w14:textId="22F7CB0F" w:rsidR="007C1B46" w:rsidRDefault="007C1B46" w:rsidP="000846B7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FCDACD5" w14:textId="242EA7FB" w:rsidR="007C1B46" w:rsidRDefault="007C1B46" w:rsidP="000846B7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191978F3" w14:textId="0141D2C1" w:rsidR="007C1B46" w:rsidRDefault="007C1B46" w:rsidP="000846B7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08E4DA4F" w14:textId="7C94EF84" w:rsidR="007C1B46" w:rsidRPr="007C1B46" w:rsidRDefault="007C1B46" w:rsidP="000846B7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7ED89E59" w14:textId="77777777" w:rsidR="00A71C31" w:rsidRPr="00AE2EE4" w:rsidRDefault="00A71C31" w:rsidP="000846B7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E949D2D" w14:textId="06658B13" w:rsidR="00A71C31" w:rsidRDefault="00A71C31" w:rsidP="000846B7">
      <w:pPr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AE2EE4">
        <w:rPr>
          <w:rFonts w:ascii="Times New Roman" w:eastAsia="宋体" w:hAnsi="Times New Roman" w:cs="Times New Roman"/>
          <w:sz w:val="24"/>
          <w:szCs w:val="24"/>
        </w:rPr>
        <w:t>国泰君安证券股份有限公司</w:t>
      </w:r>
    </w:p>
    <w:p w14:paraId="0095046A" w14:textId="77777777" w:rsidR="000846B7" w:rsidRPr="00AE2EE4" w:rsidRDefault="000846B7" w:rsidP="000846B7">
      <w:pPr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14:paraId="47B39C1A" w14:textId="655B9B66" w:rsidR="00A71C31" w:rsidRPr="00AE2EE4" w:rsidRDefault="00A71C31" w:rsidP="000846B7">
      <w:pPr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AE2EE4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AE2EE4">
        <w:rPr>
          <w:rFonts w:ascii="Times New Roman" w:eastAsia="宋体" w:hAnsi="Times New Roman" w:cs="Times New Roman"/>
          <w:sz w:val="24"/>
          <w:szCs w:val="24"/>
        </w:rPr>
        <w:t>年</w:t>
      </w:r>
      <w:r w:rsidRPr="00AE2EE4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AE2EE4">
        <w:rPr>
          <w:rFonts w:ascii="Times New Roman" w:eastAsia="宋体" w:hAnsi="Times New Roman" w:cs="Times New Roman"/>
          <w:sz w:val="24"/>
          <w:szCs w:val="24"/>
        </w:rPr>
        <w:t>月</w:t>
      </w:r>
      <w:r w:rsidRPr="00AE2EE4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AE2EE4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A71C31" w:rsidRPr="00AE2EE4" w:rsidSect="00593F8F">
      <w:footerReference w:type="default" r:id="rId9"/>
      <w:pgSz w:w="11906" w:h="16838"/>
      <w:pgMar w:top="1440" w:right="1800" w:bottom="1440" w:left="1800" w:header="851" w:footer="8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C49E" w14:textId="77777777" w:rsidR="007F215B" w:rsidRDefault="007F215B" w:rsidP="002953B3">
      <w:r>
        <w:separator/>
      </w:r>
    </w:p>
  </w:endnote>
  <w:endnote w:type="continuationSeparator" w:id="0">
    <w:p w14:paraId="32AAC294" w14:textId="77777777" w:rsidR="007F215B" w:rsidRDefault="007F215B" w:rsidP="0029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722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E92DB" w14:textId="1F1F6DF5" w:rsidR="00512186" w:rsidRPr="00593F8F" w:rsidRDefault="00593F8F" w:rsidP="00593F8F">
        <w:pPr>
          <w:pStyle w:val="a5"/>
          <w:jc w:val="center"/>
          <w:rPr>
            <w:rFonts w:ascii="Times New Roman" w:hAnsi="Times New Roman" w:cs="Times New Roman"/>
          </w:rPr>
        </w:pPr>
        <w:r w:rsidRPr="00593F8F">
          <w:rPr>
            <w:rFonts w:ascii="Times New Roman" w:hAnsi="Times New Roman" w:cs="Times New Roman"/>
          </w:rPr>
          <w:fldChar w:fldCharType="begin"/>
        </w:r>
        <w:r w:rsidRPr="00593F8F">
          <w:rPr>
            <w:rFonts w:ascii="Times New Roman" w:hAnsi="Times New Roman" w:cs="Times New Roman"/>
          </w:rPr>
          <w:instrText>PAGE   \* MERGEFORMAT</w:instrText>
        </w:r>
        <w:r w:rsidRPr="00593F8F">
          <w:rPr>
            <w:rFonts w:ascii="Times New Roman" w:hAnsi="Times New Roman" w:cs="Times New Roman"/>
          </w:rPr>
          <w:fldChar w:fldCharType="separate"/>
        </w:r>
        <w:r w:rsidRPr="00593F8F">
          <w:rPr>
            <w:rFonts w:ascii="Times New Roman" w:hAnsi="Times New Roman" w:cs="Times New Roman"/>
            <w:lang w:val="zh-CN"/>
          </w:rPr>
          <w:t>2</w:t>
        </w:r>
        <w:r w:rsidRPr="00593F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E675" w14:textId="24560C79" w:rsidR="00593F8F" w:rsidRPr="00593F8F" w:rsidRDefault="00593F8F" w:rsidP="00593F8F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94E1" w14:textId="77777777" w:rsidR="007F215B" w:rsidRDefault="007F215B" w:rsidP="002953B3">
      <w:r>
        <w:separator/>
      </w:r>
    </w:p>
  </w:footnote>
  <w:footnote w:type="continuationSeparator" w:id="0">
    <w:p w14:paraId="64680F2A" w14:textId="77777777" w:rsidR="007F215B" w:rsidRDefault="007F215B" w:rsidP="0029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14"/>
    <w:rsid w:val="00000736"/>
    <w:rsid w:val="00001ACC"/>
    <w:rsid w:val="00003C8D"/>
    <w:rsid w:val="000131F4"/>
    <w:rsid w:val="00022965"/>
    <w:rsid w:val="00024391"/>
    <w:rsid w:val="00026EBA"/>
    <w:rsid w:val="00027C7E"/>
    <w:rsid w:val="00031A37"/>
    <w:rsid w:val="00035779"/>
    <w:rsid w:val="000377AA"/>
    <w:rsid w:val="00042C5B"/>
    <w:rsid w:val="00046B5B"/>
    <w:rsid w:val="00047BB7"/>
    <w:rsid w:val="000533EA"/>
    <w:rsid w:val="0006102B"/>
    <w:rsid w:val="00070870"/>
    <w:rsid w:val="00070A79"/>
    <w:rsid w:val="00071F53"/>
    <w:rsid w:val="00074148"/>
    <w:rsid w:val="00077B3D"/>
    <w:rsid w:val="00080089"/>
    <w:rsid w:val="00081321"/>
    <w:rsid w:val="000846B7"/>
    <w:rsid w:val="00092E11"/>
    <w:rsid w:val="00093C53"/>
    <w:rsid w:val="00093F0A"/>
    <w:rsid w:val="000A00B0"/>
    <w:rsid w:val="000B0278"/>
    <w:rsid w:val="000C32F6"/>
    <w:rsid w:val="000C3DE9"/>
    <w:rsid w:val="000C4F1A"/>
    <w:rsid w:val="000C50E8"/>
    <w:rsid w:val="000D5900"/>
    <w:rsid w:val="000E1718"/>
    <w:rsid w:val="000E1F65"/>
    <w:rsid w:val="000E7F12"/>
    <w:rsid w:val="000F5C36"/>
    <w:rsid w:val="000F5F91"/>
    <w:rsid w:val="000F7443"/>
    <w:rsid w:val="00101DF2"/>
    <w:rsid w:val="00105C8F"/>
    <w:rsid w:val="00106837"/>
    <w:rsid w:val="001075CB"/>
    <w:rsid w:val="0011176F"/>
    <w:rsid w:val="001124DE"/>
    <w:rsid w:val="00114301"/>
    <w:rsid w:val="00115EE5"/>
    <w:rsid w:val="00126E83"/>
    <w:rsid w:val="00155A8F"/>
    <w:rsid w:val="0015659A"/>
    <w:rsid w:val="00156BC0"/>
    <w:rsid w:val="00160F43"/>
    <w:rsid w:val="00161F11"/>
    <w:rsid w:val="00183E5C"/>
    <w:rsid w:val="00184059"/>
    <w:rsid w:val="0019090F"/>
    <w:rsid w:val="0019267B"/>
    <w:rsid w:val="001974F6"/>
    <w:rsid w:val="001A231B"/>
    <w:rsid w:val="001A5105"/>
    <w:rsid w:val="001B0E16"/>
    <w:rsid w:val="001B37EE"/>
    <w:rsid w:val="001B3E64"/>
    <w:rsid w:val="001B7399"/>
    <w:rsid w:val="001E6FB3"/>
    <w:rsid w:val="001F0642"/>
    <w:rsid w:val="001F50CF"/>
    <w:rsid w:val="001F659E"/>
    <w:rsid w:val="002071E3"/>
    <w:rsid w:val="00211B54"/>
    <w:rsid w:val="00231B9E"/>
    <w:rsid w:val="002357DA"/>
    <w:rsid w:val="002401ED"/>
    <w:rsid w:val="00240421"/>
    <w:rsid w:val="0024189A"/>
    <w:rsid w:val="00243A7F"/>
    <w:rsid w:val="002640E7"/>
    <w:rsid w:val="0026738F"/>
    <w:rsid w:val="002711B5"/>
    <w:rsid w:val="002772F5"/>
    <w:rsid w:val="00286849"/>
    <w:rsid w:val="0028704C"/>
    <w:rsid w:val="00291775"/>
    <w:rsid w:val="00292AD4"/>
    <w:rsid w:val="00293CE0"/>
    <w:rsid w:val="002953B3"/>
    <w:rsid w:val="00296D2D"/>
    <w:rsid w:val="002A01B0"/>
    <w:rsid w:val="002A3D83"/>
    <w:rsid w:val="002B7344"/>
    <w:rsid w:val="002C1338"/>
    <w:rsid w:val="002C2D6E"/>
    <w:rsid w:val="002D4360"/>
    <w:rsid w:val="002D55F0"/>
    <w:rsid w:val="002D6313"/>
    <w:rsid w:val="002E55D8"/>
    <w:rsid w:val="002F0449"/>
    <w:rsid w:val="002F376B"/>
    <w:rsid w:val="002F40C4"/>
    <w:rsid w:val="00302E38"/>
    <w:rsid w:val="003042ED"/>
    <w:rsid w:val="00306036"/>
    <w:rsid w:val="00307698"/>
    <w:rsid w:val="0031664C"/>
    <w:rsid w:val="00316B63"/>
    <w:rsid w:val="0032059B"/>
    <w:rsid w:val="00320C0D"/>
    <w:rsid w:val="003266A8"/>
    <w:rsid w:val="00326E70"/>
    <w:rsid w:val="00340228"/>
    <w:rsid w:val="003422CB"/>
    <w:rsid w:val="0035324C"/>
    <w:rsid w:val="00375B92"/>
    <w:rsid w:val="00377406"/>
    <w:rsid w:val="00383225"/>
    <w:rsid w:val="003853AD"/>
    <w:rsid w:val="00397664"/>
    <w:rsid w:val="003A1E6E"/>
    <w:rsid w:val="003A20C6"/>
    <w:rsid w:val="003A2A6F"/>
    <w:rsid w:val="003A2C1E"/>
    <w:rsid w:val="003A4D51"/>
    <w:rsid w:val="003A5F0F"/>
    <w:rsid w:val="003C1D40"/>
    <w:rsid w:val="003C3943"/>
    <w:rsid w:val="003C4773"/>
    <w:rsid w:val="003C7EF1"/>
    <w:rsid w:val="003D7FAC"/>
    <w:rsid w:val="003F0BB6"/>
    <w:rsid w:val="003F621C"/>
    <w:rsid w:val="003F6C9A"/>
    <w:rsid w:val="00402DA7"/>
    <w:rsid w:val="00410A74"/>
    <w:rsid w:val="00410FB6"/>
    <w:rsid w:val="00414EC4"/>
    <w:rsid w:val="0042255C"/>
    <w:rsid w:val="004253D5"/>
    <w:rsid w:val="0043192C"/>
    <w:rsid w:val="00434990"/>
    <w:rsid w:val="004401AD"/>
    <w:rsid w:val="0044140C"/>
    <w:rsid w:val="00445638"/>
    <w:rsid w:val="004521C1"/>
    <w:rsid w:val="00452AC6"/>
    <w:rsid w:val="0046289B"/>
    <w:rsid w:val="00473F57"/>
    <w:rsid w:val="00476723"/>
    <w:rsid w:val="00480AF3"/>
    <w:rsid w:val="00490389"/>
    <w:rsid w:val="00490B89"/>
    <w:rsid w:val="00495084"/>
    <w:rsid w:val="004953FC"/>
    <w:rsid w:val="00496128"/>
    <w:rsid w:val="004A0B11"/>
    <w:rsid w:val="004A2F3E"/>
    <w:rsid w:val="004B07FE"/>
    <w:rsid w:val="004B0F54"/>
    <w:rsid w:val="004B37D3"/>
    <w:rsid w:val="004C1743"/>
    <w:rsid w:val="004C3CB1"/>
    <w:rsid w:val="004C3F13"/>
    <w:rsid w:val="004C699D"/>
    <w:rsid w:val="004C78DE"/>
    <w:rsid w:val="004D0295"/>
    <w:rsid w:val="004D1846"/>
    <w:rsid w:val="004D2DA1"/>
    <w:rsid w:val="004D5C85"/>
    <w:rsid w:val="004D5E8C"/>
    <w:rsid w:val="004E0B5D"/>
    <w:rsid w:val="004F2610"/>
    <w:rsid w:val="004F273A"/>
    <w:rsid w:val="004F27F8"/>
    <w:rsid w:val="004F328F"/>
    <w:rsid w:val="0050164F"/>
    <w:rsid w:val="00502F54"/>
    <w:rsid w:val="00504B78"/>
    <w:rsid w:val="005069D6"/>
    <w:rsid w:val="00512186"/>
    <w:rsid w:val="005150D7"/>
    <w:rsid w:val="00520A07"/>
    <w:rsid w:val="005212A2"/>
    <w:rsid w:val="005254E2"/>
    <w:rsid w:val="0053296C"/>
    <w:rsid w:val="00534F8B"/>
    <w:rsid w:val="005364DC"/>
    <w:rsid w:val="005417A0"/>
    <w:rsid w:val="005425D2"/>
    <w:rsid w:val="0054363D"/>
    <w:rsid w:val="00547822"/>
    <w:rsid w:val="00547A3E"/>
    <w:rsid w:val="0055537C"/>
    <w:rsid w:val="00557AE2"/>
    <w:rsid w:val="005601A9"/>
    <w:rsid w:val="00562BA5"/>
    <w:rsid w:val="00564F9D"/>
    <w:rsid w:val="00566DF8"/>
    <w:rsid w:val="005711C2"/>
    <w:rsid w:val="005720C0"/>
    <w:rsid w:val="005724BE"/>
    <w:rsid w:val="00572B96"/>
    <w:rsid w:val="00576675"/>
    <w:rsid w:val="00580B2A"/>
    <w:rsid w:val="005902EC"/>
    <w:rsid w:val="00591BF2"/>
    <w:rsid w:val="00593F8F"/>
    <w:rsid w:val="005970AC"/>
    <w:rsid w:val="005A387A"/>
    <w:rsid w:val="005A443C"/>
    <w:rsid w:val="005B75FE"/>
    <w:rsid w:val="005B78B3"/>
    <w:rsid w:val="005C2964"/>
    <w:rsid w:val="005C3F25"/>
    <w:rsid w:val="005C5935"/>
    <w:rsid w:val="005C75F8"/>
    <w:rsid w:val="005D486E"/>
    <w:rsid w:val="005E0191"/>
    <w:rsid w:val="005E1FFB"/>
    <w:rsid w:val="005F1D66"/>
    <w:rsid w:val="006009BD"/>
    <w:rsid w:val="00601168"/>
    <w:rsid w:val="00612C29"/>
    <w:rsid w:val="00620E4A"/>
    <w:rsid w:val="00624F20"/>
    <w:rsid w:val="00625689"/>
    <w:rsid w:val="00640E3B"/>
    <w:rsid w:val="006442C8"/>
    <w:rsid w:val="00644F04"/>
    <w:rsid w:val="00644FB5"/>
    <w:rsid w:val="00654B83"/>
    <w:rsid w:val="006553CB"/>
    <w:rsid w:val="00655F6B"/>
    <w:rsid w:val="00657A9D"/>
    <w:rsid w:val="006640B2"/>
    <w:rsid w:val="00670968"/>
    <w:rsid w:val="00670A19"/>
    <w:rsid w:val="006868B5"/>
    <w:rsid w:val="006905B0"/>
    <w:rsid w:val="00690A70"/>
    <w:rsid w:val="0069223A"/>
    <w:rsid w:val="006953B7"/>
    <w:rsid w:val="006A5FD4"/>
    <w:rsid w:val="006C4997"/>
    <w:rsid w:val="006D5EBA"/>
    <w:rsid w:val="006D7082"/>
    <w:rsid w:val="006E07DF"/>
    <w:rsid w:val="006E6AB4"/>
    <w:rsid w:val="00704BAC"/>
    <w:rsid w:val="00705D4E"/>
    <w:rsid w:val="00710059"/>
    <w:rsid w:val="00725358"/>
    <w:rsid w:val="0073558A"/>
    <w:rsid w:val="0074045E"/>
    <w:rsid w:val="007415E9"/>
    <w:rsid w:val="007464F0"/>
    <w:rsid w:val="00753E2B"/>
    <w:rsid w:val="00754B48"/>
    <w:rsid w:val="00764E3A"/>
    <w:rsid w:val="007708E1"/>
    <w:rsid w:val="00771EC0"/>
    <w:rsid w:val="0077253D"/>
    <w:rsid w:val="007830EB"/>
    <w:rsid w:val="00785928"/>
    <w:rsid w:val="00787D55"/>
    <w:rsid w:val="007B625B"/>
    <w:rsid w:val="007C1B46"/>
    <w:rsid w:val="007C3EEF"/>
    <w:rsid w:val="007D1980"/>
    <w:rsid w:val="007D4F44"/>
    <w:rsid w:val="007E7ADD"/>
    <w:rsid w:val="007F07FD"/>
    <w:rsid w:val="007F1121"/>
    <w:rsid w:val="007F2046"/>
    <w:rsid w:val="007F215B"/>
    <w:rsid w:val="007F663C"/>
    <w:rsid w:val="00811D6F"/>
    <w:rsid w:val="008253F6"/>
    <w:rsid w:val="00832CC3"/>
    <w:rsid w:val="008422C9"/>
    <w:rsid w:val="008520F2"/>
    <w:rsid w:val="00855864"/>
    <w:rsid w:val="0086109F"/>
    <w:rsid w:val="00862AC3"/>
    <w:rsid w:val="008756F1"/>
    <w:rsid w:val="00876EEE"/>
    <w:rsid w:val="00884BD4"/>
    <w:rsid w:val="00885F82"/>
    <w:rsid w:val="008952AD"/>
    <w:rsid w:val="008A0909"/>
    <w:rsid w:val="008A106A"/>
    <w:rsid w:val="008A18E3"/>
    <w:rsid w:val="008A5E4D"/>
    <w:rsid w:val="008A7D78"/>
    <w:rsid w:val="008C05E3"/>
    <w:rsid w:val="008C3EE4"/>
    <w:rsid w:val="008D3505"/>
    <w:rsid w:val="008D3607"/>
    <w:rsid w:val="008E140A"/>
    <w:rsid w:val="008E42F5"/>
    <w:rsid w:val="008E51BB"/>
    <w:rsid w:val="008F57D8"/>
    <w:rsid w:val="00900F40"/>
    <w:rsid w:val="009116DC"/>
    <w:rsid w:val="009239BA"/>
    <w:rsid w:val="009300CD"/>
    <w:rsid w:val="0093218E"/>
    <w:rsid w:val="0094515F"/>
    <w:rsid w:val="009462A4"/>
    <w:rsid w:val="009470CC"/>
    <w:rsid w:val="00953573"/>
    <w:rsid w:val="009553F0"/>
    <w:rsid w:val="00955B63"/>
    <w:rsid w:val="00960DDF"/>
    <w:rsid w:val="00961B6C"/>
    <w:rsid w:val="00962689"/>
    <w:rsid w:val="00964671"/>
    <w:rsid w:val="009739AE"/>
    <w:rsid w:val="00986A25"/>
    <w:rsid w:val="00992C05"/>
    <w:rsid w:val="009A482E"/>
    <w:rsid w:val="009B49EA"/>
    <w:rsid w:val="009B6AAA"/>
    <w:rsid w:val="009C066C"/>
    <w:rsid w:val="009C067C"/>
    <w:rsid w:val="009C3752"/>
    <w:rsid w:val="009D2030"/>
    <w:rsid w:val="009E16F7"/>
    <w:rsid w:val="009E1B71"/>
    <w:rsid w:val="009E33CD"/>
    <w:rsid w:val="009F1D4F"/>
    <w:rsid w:val="009F58CC"/>
    <w:rsid w:val="00A002C8"/>
    <w:rsid w:val="00A13238"/>
    <w:rsid w:val="00A1328B"/>
    <w:rsid w:val="00A1346F"/>
    <w:rsid w:val="00A1384B"/>
    <w:rsid w:val="00A16070"/>
    <w:rsid w:val="00A2252E"/>
    <w:rsid w:val="00A33092"/>
    <w:rsid w:val="00A331BC"/>
    <w:rsid w:val="00A5220E"/>
    <w:rsid w:val="00A56AD9"/>
    <w:rsid w:val="00A6277B"/>
    <w:rsid w:val="00A71C31"/>
    <w:rsid w:val="00A7246F"/>
    <w:rsid w:val="00A839A6"/>
    <w:rsid w:val="00A87106"/>
    <w:rsid w:val="00A94114"/>
    <w:rsid w:val="00A961D7"/>
    <w:rsid w:val="00AA00D4"/>
    <w:rsid w:val="00AA1442"/>
    <w:rsid w:val="00AB1A10"/>
    <w:rsid w:val="00AC1B20"/>
    <w:rsid w:val="00AC7165"/>
    <w:rsid w:val="00AD10EF"/>
    <w:rsid w:val="00AD260E"/>
    <w:rsid w:val="00AE2EE4"/>
    <w:rsid w:val="00AE3B21"/>
    <w:rsid w:val="00AE674D"/>
    <w:rsid w:val="00AF0C19"/>
    <w:rsid w:val="00AF367F"/>
    <w:rsid w:val="00AF390A"/>
    <w:rsid w:val="00AF46A0"/>
    <w:rsid w:val="00B10B9B"/>
    <w:rsid w:val="00B17CDB"/>
    <w:rsid w:val="00B17EC8"/>
    <w:rsid w:val="00B22920"/>
    <w:rsid w:val="00B365F5"/>
    <w:rsid w:val="00B36F4D"/>
    <w:rsid w:val="00B46981"/>
    <w:rsid w:val="00B504FD"/>
    <w:rsid w:val="00B57C00"/>
    <w:rsid w:val="00B611BF"/>
    <w:rsid w:val="00B72626"/>
    <w:rsid w:val="00B80CF5"/>
    <w:rsid w:val="00B81A01"/>
    <w:rsid w:val="00B85549"/>
    <w:rsid w:val="00B86963"/>
    <w:rsid w:val="00BA0E2D"/>
    <w:rsid w:val="00BA3AE2"/>
    <w:rsid w:val="00BA6F15"/>
    <w:rsid w:val="00BC1212"/>
    <w:rsid w:val="00BC1D91"/>
    <w:rsid w:val="00BC7CDB"/>
    <w:rsid w:val="00BD0C0A"/>
    <w:rsid w:val="00BD1484"/>
    <w:rsid w:val="00BD3892"/>
    <w:rsid w:val="00BE7D88"/>
    <w:rsid w:val="00C023F1"/>
    <w:rsid w:val="00C029EF"/>
    <w:rsid w:val="00C053CC"/>
    <w:rsid w:val="00C07B32"/>
    <w:rsid w:val="00C10D46"/>
    <w:rsid w:val="00C15789"/>
    <w:rsid w:val="00C21AC7"/>
    <w:rsid w:val="00C239B0"/>
    <w:rsid w:val="00C2754D"/>
    <w:rsid w:val="00C30CBC"/>
    <w:rsid w:val="00C31936"/>
    <w:rsid w:val="00C33AF2"/>
    <w:rsid w:val="00C37A00"/>
    <w:rsid w:val="00C42C15"/>
    <w:rsid w:val="00C4368E"/>
    <w:rsid w:val="00C45D2D"/>
    <w:rsid w:val="00C53B67"/>
    <w:rsid w:val="00C610A6"/>
    <w:rsid w:val="00C739D2"/>
    <w:rsid w:val="00C759B7"/>
    <w:rsid w:val="00CA4230"/>
    <w:rsid w:val="00CA7213"/>
    <w:rsid w:val="00CB349C"/>
    <w:rsid w:val="00CB7BD8"/>
    <w:rsid w:val="00CC5D98"/>
    <w:rsid w:val="00CD029E"/>
    <w:rsid w:val="00CD21AA"/>
    <w:rsid w:val="00CD3508"/>
    <w:rsid w:val="00CE50BF"/>
    <w:rsid w:val="00CE524E"/>
    <w:rsid w:val="00CE5533"/>
    <w:rsid w:val="00CE5B84"/>
    <w:rsid w:val="00CE629C"/>
    <w:rsid w:val="00CF6292"/>
    <w:rsid w:val="00D03A4B"/>
    <w:rsid w:val="00D07308"/>
    <w:rsid w:val="00D1178E"/>
    <w:rsid w:val="00D20958"/>
    <w:rsid w:val="00D21540"/>
    <w:rsid w:val="00D25A10"/>
    <w:rsid w:val="00D32614"/>
    <w:rsid w:val="00D37B41"/>
    <w:rsid w:val="00D40618"/>
    <w:rsid w:val="00D453FF"/>
    <w:rsid w:val="00D50C31"/>
    <w:rsid w:val="00D51932"/>
    <w:rsid w:val="00D52E58"/>
    <w:rsid w:val="00D70882"/>
    <w:rsid w:val="00D759D4"/>
    <w:rsid w:val="00D80A4D"/>
    <w:rsid w:val="00D8168B"/>
    <w:rsid w:val="00D81DDD"/>
    <w:rsid w:val="00D83C94"/>
    <w:rsid w:val="00D92AB7"/>
    <w:rsid w:val="00D93540"/>
    <w:rsid w:val="00DA5472"/>
    <w:rsid w:val="00DA60DE"/>
    <w:rsid w:val="00DC64D0"/>
    <w:rsid w:val="00DC70D2"/>
    <w:rsid w:val="00DC75DE"/>
    <w:rsid w:val="00DD2EAA"/>
    <w:rsid w:val="00DD38F4"/>
    <w:rsid w:val="00DD4EDB"/>
    <w:rsid w:val="00DE0F33"/>
    <w:rsid w:val="00DF19D4"/>
    <w:rsid w:val="00DF1D7B"/>
    <w:rsid w:val="00DF7447"/>
    <w:rsid w:val="00E01C36"/>
    <w:rsid w:val="00E05530"/>
    <w:rsid w:val="00E06DC0"/>
    <w:rsid w:val="00E215CD"/>
    <w:rsid w:val="00E24102"/>
    <w:rsid w:val="00E26DEF"/>
    <w:rsid w:val="00E2732A"/>
    <w:rsid w:val="00E30CAD"/>
    <w:rsid w:val="00E35C38"/>
    <w:rsid w:val="00E37A64"/>
    <w:rsid w:val="00E449BB"/>
    <w:rsid w:val="00E72110"/>
    <w:rsid w:val="00E725C6"/>
    <w:rsid w:val="00E84396"/>
    <w:rsid w:val="00E85F93"/>
    <w:rsid w:val="00E878A7"/>
    <w:rsid w:val="00EA10CE"/>
    <w:rsid w:val="00EB08A1"/>
    <w:rsid w:val="00EB3F5E"/>
    <w:rsid w:val="00EC3865"/>
    <w:rsid w:val="00ED2C88"/>
    <w:rsid w:val="00ED4258"/>
    <w:rsid w:val="00EE2443"/>
    <w:rsid w:val="00EE44FE"/>
    <w:rsid w:val="00EE7E3A"/>
    <w:rsid w:val="00EF1289"/>
    <w:rsid w:val="00EF2BAE"/>
    <w:rsid w:val="00EF4582"/>
    <w:rsid w:val="00F03EF8"/>
    <w:rsid w:val="00F04940"/>
    <w:rsid w:val="00F21FBF"/>
    <w:rsid w:val="00F303C2"/>
    <w:rsid w:val="00F34472"/>
    <w:rsid w:val="00F35BA2"/>
    <w:rsid w:val="00F37BCF"/>
    <w:rsid w:val="00F42110"/>
    <w:rsid w:val="00F44BBE"/>
    <w:rsid w:val="00F459D9"/>
    <w:rsid w:val="00F50DB7"/>
    <w:rsid w:val="00F56E17"/>
    <w:rsid w:val="00F73521"/>
    <w:rsid w:val="00F748B7"/>
    <w:rsid w:val="00F810EB"/>
    <w:rsid w:val="00F8125C"/>
    <w:rsid w:val="00F81979"/>
    <w:rsid w:val="00F85B05"/>
    <w:rsid w:val="00F87ADF"/>
    <w:rsid w:val="00F97360"/>
    <w:rsid w:val="00FA34F7"/>
    <w:rsid w:val="00FA5417"/>
    <w:rsid w:val="00FA664E"/>
    <w:rsid w:val="00FA6A76"/>
    <w:rsid w:val="00FA7DF1"/>
    <w:rsid w:val="00FB17D3"/>
    <w:rsid w:val="00FB185A"/>
    <w:rsid w:val="00FB4AE4"/>
    <w:rsid w:val="00FB5807"/>
    <w:rsid w:val="00FC33C9"/>
    <w:rsid w:val="00FD078B"/>
    <w:rsid w:val="00FD3045"/>
    <w:rsid w:val="00FE0426"/>
    <w:rsid w:val="00FE07A2"/>
    <w:rsid w:val="00FF4375"/>
    <w:rsid w:val="00FF4A68"/>
    <w:rsid w:val="00FF5C1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9D3E"/>
  <w15:docId w15:val="{479D9E7A-627A-4C24-A803-C1AF52A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3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3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375"/>
    <w:rPr>
      <w:sz w:val="18"/>
      <w:szCs w:val="18"/>
    </w:rPr>
  </w:style>
  <w:style w:type="paragraph" w:styleId="a9">
    <w:name w:val="List Paragraph"/>
    <w:basedOn w:val="a"/>
    <w:uiPriority w:val="34"/>
    <w:qFormat/>
    <w:rsid w:val="009300CD"/>
    <w:pPr>
      <w:ind w:left="720"/>
      <w:contextualSpacing/>
    </w:pPr>
  </w:style>
  <w:style w:type="table" w:styleId="aa">
    <w:name w:val="Table Grid"/>
    <w:basedOn w:val="a1"/>
    <w:uiPriority w:val="39"/>
    <w:rsid w:val="0044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003D-4FB9-4060-A6EC-055A4B5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Zhenyu</dc:creator>
  <cp:lastModifiedBy>刘伯伦</cp:lastModifiedBy>
  <cp:revision>40</cp:revision>
  <cp:lastPrinted>2019-07-11T11:22:00Z</cp:lastPrinted>
  <dcterms:created xsi:type="dcterms:W3CDTF">2020-09-25T03:02:00Z</dcterms:created>
  <dcterms:modified xsi:type="dcterms:W3CDTF">2021-10-08T04:32:00Z</dcterms:modified>
</cp:coreProperties>
</file>